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b w:val="1"/>
          <w:sz w:val="28"/>
          <w:szCs w:val="28"/>
        </w:rPr>
      </w:pPr>
      <w:bookmarkStart w:colFirst="0" w:colLast="0" w:name="_s20ua6w20bx" w:id="0"/>
      <w:bookmarkEnd w:id="0"/>
      <w:r w:rsidDel="00000000" w:rsidR="00000000" w:rsidRPr="00000000">
        <w:rPr>
          <w:b w:val="1"/>
          <w:sz w:val="28"/>
          <w:szCs w:val="28"/>
          <w:rtl w:val="0"/>
        </w:rPr>
        <w:t xml:space="preserve">Remote Participation and Student Engagement</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This document provides an introduction to maintaining student engagement as you move to remote teaching. It outlines key steps to </w:t>
      </w:r>
      <w:r w:rsidDel="00000000" w:rsidR="00000000" w:rsidRPr="00000000">
        <w:rPr>
          <w:i w:val="1"/>
          <w:rtl w:val="0"/>
        </w:rPr>
        <w:t xml:space="preserve">Plan</w:t>
      </w:r>
      <w:r w:rsidDel="00000000" w:rsidR="00000000" w:rsidRPr="00000000">
        <w:rPr>
          <w:rtl w:val="0"/>
        </w:rPr>
        <w:t xml:space="preserve">, </w:t>
      </w:r>
      <w:r w:rsidDel="00000000" w:rsidR="00000000" w:rsidRPr="00000000">
        <w:rPr>
          <w:i w:val="1"/>
          <w:rtl w:val="0"/>
        </w:rPr>
        <w:t xml:space="preserve">Modify</w:t>
      </w:r>
      <w:r w:rsidDel="00000000" w:rsidR="00000000" w:rsidRPr="00000000">
        <w:rPr>
          <w:rtl w:val="0"/>
        </w:rPr>
        <w:t xml:space="preserve">, and </w:t>
      </w:r>
      <w:r w:rsidDel="00000000" w:rsidR="00000000" w:rsidRPr="00000000">
        <w:rPr>
          <w:i w:val="1"/>
          <w:rtl w:val="0"/>
        </w:rPr>
        <w:t xml:space="preserve">Implement </w:t>
      </w:r>
      <w:r w:rsidDel="00000000" w:rsidR="00000000" w:rsidRPr="00000000">
        <w:rPr>
          <w:rtl w:val="0"/>
        </w:rPr>
        <w:t xml:space="preserve">when making this move to optimize student learning.</w:t>
      </w:r>
      <w:r w:rsidDel="00000000" w:rsidR="00000000" w:rsidRPr="00000000">
        <w:rPr>
          <w:i w:val="1"/>
          <w:rtl w:val="0"/>
        </w:rPr>
        <w:t xml:space="preserve"> </w:t>
      </w:r>
      <w:r w:rsidDel="00000000" w:rsidR="00000000" w:rsidRPr="00000000">
        <w:rPr>
          <w:rtl w:val="0"/>
        </w:rPr>
        <w:t xml:space="preserve">As with any steps you take in moving to remote teaching, it’s important to anchor your decisions in course learning objectives and to be transparent, flexible, and generous with students. </w:t>
      </w:r>
    </w:p>
    <w:p w:rsidR="00000000" w:rsidDel="00000000" w:rsidP="00000000" w:rsidRDefault="00000000" w:rsidRPr="00000000" w14:paraId="00000004">
      <w:pPr>
        <w:pStyle w:val="Heading2"/>
        <w:spacing w:line="240" w:lineRule="auto"/>
        <w:rPr>
          <w:b w:val="1"/>
          <w:sz w:val="24"/>
          <w:szCs w:val="24"/>
        </w:rPr>
      </w:pPr>
      <w:bookmarkStart w:colFirst="0" w:colLast="0" w:name="_7x0osp19sl2l" w:id="1"/>
      <w:bookmarkEnd w:id="1"/>
      <w:r w:rsidDel="00000000" w:rsidR="00000000" w:rsidRPr="00000000">
        <w:rPr>
          <w:b w:val="1"/>
          <w:sz w:val="24"/>
          <w:szCs w:val="24"/>
          <w:rtl w:val="0"/>
        </w:rPr>
        <w:t xml:space="preserve">Plan</w:t>
      </w:r>
    </w:p>
    <w:p w:rsidR="00000000" w:rsidDel="00000000" w:rsidP="00000000" w:rsidRDefault="00000000" w:rsidRPr="00000000" w14:paraId="00000005">
      <w:pPr>
        <w:spacing w:line="240" w:lineRule="auto"/>
        <w:rPr/>
      </w:pPr>
      <w:r w:rsidDel="00000000" w:rsidR="00000000" w:rsidRPr="00000000">
        <w:rPr>
          <w:rtl w:val="0"/>
        </w:rPr>
        <w:t xml:space="preserve">In planning how you will continue to engage students in your course, remember that interaction can occur between the </w:t>
      </w:r>
      <w:r w:rsidDel="00000000" w:rsidR="00000000" w:rsidRPr="00000000">
        <w:rPr>
          <w:b w:val="1"/>
          <w:i w:val="1"/>
          <w:rtl w:val="0"/>
        </w:rPr>
        <w:t xml:space="preserve">student and you</w:t>
      </w:r>
      <w:r w:rsidDel="00000000" w:rsidR="00000000" w:rsidRPr="00000000">
        <w:rPr>
          <w:rtl w:val="0"/>
        </w:rPr>
        <w:t xml:space="preserve">, the </w:t>
      </w:r>
      <w:r w:rsidDel="00000000" w:rsidR="00000000" w:rsidRPr="00000000">
        <w:rPr>
          <w:b w:val="1"/>
          <w:i w:val="1"/>
          <w:rtl w:val="0"/>
        </w:rPr>
        <w:t xml:space="preserve">student and other students</w:t>
      </w:r>
      <w:r w:rsidDel="00000000" w:rsidR="00000000" w:rsidRPr="00000000">
        <w:rPr>
          <w:rtl w:val="0"/>
        </w:rPr>
        <w:t xml:space="preserve">, and the </w:t>
      </w:r>
      <w:r w:rsidDel="00000000" w:rsidR="00000000" w:rsidRPr="00000000">
        <w:rPr>
          <w:b w:val="1"/>
          <w:i w:val="1"/>
          <w:rtl w:val="0"/>
        </w:rPr>
        <w:t xml:space="preserve">student and the course materials</w:t>
      </w:r>
      <w:r w:rsidDel="00000000" w:rsidR="00000000" w:rsidRPr="00000000">
        <w:rPr>
          <w:rtl w:val="0"/>
        </w:rPr>
        <w:t xml:space="preserve">.  </w:t>
      </w:r>
    </w:p>
    <w:p w:rsidR="00000000" w:rsidDel="00000000" w:rsidP="00000000" w:rsidRDefault="00000000" w:rsidRPr="00000000" w14:paraId="00000006">
      <w:pPr>
        <w:pStyle w:val="Heading2"/>
        <w:spacing w:line="240" w:lineRule="auto"/>
        <w:rPr>
          <w:b w:val="1"/>
          <w:sz w:val="24"/>
          <w:szCs w:val="24"/>
        </w:rPr>
      </w:pPr>
      <w:bookmarkStart w:colFirst="0" w:colLast="0" w:name="_cnnudmx5k14e" w:id="2"/>
      <w:bookmarkEnd w:id="2"/>
      <w:r w:rsidDel="00000000" w:rsidR="00000000" w:rsidRPr="00000000">
        <w:rPr>
          <w:b w:val="1"/>
          <w:sz w:val="24"/>
          <w:szCs w:val="24"/>
          <w:rtl w:val="0"/>
        </w:rPr>
        <w:t xml:space="preserve">Modify</w:t>
      </w:r>
    </w:p>
    <w:p w:rsidR="00000000" w:rsidDel="00000000" w:rsidP="00000000" w:rsidRDefault="00000000" w:rsidRPr="00000000" w14:paraId="00000007">
      <w:pPr>
        <w:spacing w:line="240" w:lineRule="auto"/>
        <w:rPr/>
      </w:pPr>
      <w:r w:rsidDel="00000000" w:rsidR="00000000" w:rsidRPr="00000000">
        <w:rPr>
          <w:rtl w:val="0"/>
        </w:rPr>
        <w:t xml:space="preserve">When modifying in-class activities to a remote offering, you can start by cataloguing all of the ways people typically interact in your classroom. This list can then be used to identify particular digital strategies or technologies for adapting your current approach and translating your methods to an online space. For example, you might draft a table like the one below:</w:t>
      </w:r>
    </w:p>
    <w:p w:rsidR="00000000" w:rsidDel="00000000" w:rsidP="00000000" w:rsidRDefault="00000000" w:rsidRPr="00000000" w14:paraId="00000008">
      <w:pPr>
        <w:spacing w:line="240" w:lineRule="auto"/>
        <w:rPr/>
      </w:pPr>
      <w:r w:rsidDel="00000000" w:rsidR="00000000" w:rsidRPr="00000000">
        <w:rPr>
          <w:rtl w:val="0"/>
        </w:rPr>
      </w:r>
    </w:p>
    <w:tbl>
      <w:tblPr>
        <w:tblStyle w:val="Table1"/>
        <w:tblW w:w="95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345"/>
        <w:gridCol w:w="3315"/>
        <w:tblGridChange w:id="0">
          <w:tblGrid>
            <w:gridCol w:w="2895"/>
            <w:gridCol w:w="3345"/>
            <w:gridCol w:w="3315"/>
          </w:tblGrid>
        </w:tblGridChange>
      </w:tblGrid>
      <w:tr>
        <w:trPr>
          <w:trHeight w:val="7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Interactions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Class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Modify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center"/>
              <w:rPr>
                <w:b w:val="1"/>
              </w:rPr>
            </w:pPr>
            <w:r w:rsidDel="00000000" w:rsidR="00000000" w:rsidRPr="00000000">
              <w:rPr>
                <w:b w:val="1"/>
                <w:rtl w:val="0"/>
              </w:rPr>
              <w:t xml:space="preserve">Implement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i w:val="1"/>
              </w:rPr>
            </w:pPr>
            <w:r w:rsidDel="00000000" w:rsidR="00000000" w:rsidRPr="00000000">
              <w:rPr>
                <w:b w:val="1"/>
                <w:i w:val="1"/>
                <w:rtl w:val="0"/>
              </w:rPr>
              <w:t xml:space="preserve">Teacher to students:</w:t>
            </w:r>
          </w:p>
          <w:p w:rsidR="00000000" w:rsidDel="00000000" w:rsidP="00000000" w:rsidRDefault="00000000" w:rsidRPr="00000000" w14:paraId="0000000E">
            <w:pPr>
              <w:widowControl w:val="0"/>
              <w:spacing w:line="240" w:lineRule="auto"/>
              <w:rPr/>
            </w:pPr>
            <w:r w:rsidDel="00000000" w:rsidR="00000000" w:rsidRPr="00000000">
              <w:rPr>
                <w:rtl w:val="0"/>
              </w:rPr>
              <w:t xml:space="preserve">During lecture, I ask questions to check student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Ask a poll question in a live Zoom session or D2L discussion forum whereas students respond to a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b w:val="1"/>
              </w:rPr>
            </w:pPr>
            <w:r w:rsidDel="00000000" w:rsidR="00000000" w:rsidRPr="00000000">
              <w:rPr>
                <w:b w:val="1"/>
                <w:rtl w:val="0"/>
              </w:rPr>
              <w:t xml:space="preserve">How to create a poll in Zoom:</w:t>
            </w:r>
          </w:p>
          <w:p w:rsidR="00000000" w:rsidDel="00000000" w:rsidP="00000000" w:rsidRDefault="00000000" w:rsidRPr="00000000" w14:paraId="00000011">
            <w:pPr>
              <w:spacing w:line="240" w:lineRule="auto"/>
              <w:rPr/>
            </w:pPr>
            <w:hyperlink r:id="rId6">
              <w:r w:rsidDel="00000000" w:rsidR="00000000" w:rsidRPr="00000000">
                <w:rPr>
                  <w:color w:val="1155cc"/>
                  <w:u w:val="single"/>
                  <w:rtl w:val="0"/>
                </w:rPr>
                <w:t xml:space="preserve">https://support.zoom.us/hc/en-us/articles/203749865-Polling-for-Webinars</w:t>
              </w:r>
            </w:hyperlink>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b w:val="1"/>
                <w:rtl w:val="0"/>
              </w:rPr>
              <w:t xml:space="preserve">How to manage D2L discussion forum:</w:t>
            </w:r>
          </w:p>
          <w:p w:rsidR="00000000" w:rsidDel="00000000" w:rsidP="00000000" w:rsidRDefault="00000000" w:rsidRPr="00000000" w14:paraId="00000014">
            <w:pPr>
              <w:spacing w:line="240" w:lineRule="auto"/>
              <w:rPr/>
            </w:pPr>
            <w:hyperlink r:id="rId7">
              <w:r w:rsidDel="00000000" w:rsidR="00000000" w:rsidRPr="00000000">
                <w:rPr>
                  <w:color w:val="1155cc"/>
                  <w:u w:val="single"/>
                  <w:rtl w:val="0"/>
                </w:rPr>
                <w:t xml:space="preserve">https://documentation.brightspace.com/EN/le/discussions/learner/discussions_intro_1.htm</w:t>
              </w:r>
            </w:hyperlink>
            <w:r w:rsidDel="00000000" w:rsidR="00000000" w:rsidRPr="00000000">
              <w:rPr>
                <w:rtl w:val="0"/>
              </w:rPr>
            </w:r>
          </w:p>
        </w:tc>
      </w:tr>
      <w:tr>
        <w:trPr>
          <w:trHeight w:val="18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i w:val="1"/>
              </w:rPr>
            </w:pPr>
            <w:r w:rsidDel="00000000" w:rsidR="00000000" w:rsidRPr="00000000">
              <w:rPr>
                <w:b w:val="1"/>
                <w:i w:val="1"/>
                <w:rtl w:val="0"/>
              </w:rPr>
              <w:t xml:space="preserve">Student to material:</w:t>
            </w:r>
          </w:p>
          <w:p w:rsidR="00000000" w:rsidDel="00000000" w:rsidP="00000000" w:rsidRDefault="00000000" w:rsidRPr="00000000" w14:paraId="00000016">
            <w:pPr>
              <w:widowControl w:val="0"/>
              <w:spacing w:line="240" w:lineRule="auto"/>
              <w:rPr/>
            </w:pPr>
            <w:r w:rsidDel="00000000" w:rsidR="00000000" w:rsidRPr="00000000">
              <w:rPr>
                <w:rtl w:val="0"/>
              </w:rPr>
              <w:t xml:space="preserve">We watch and discuss 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Share a link with students in a variety of ways - i.e. post the link in a D2L discussion forum along with questions for response.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pPr>
            <w:r w:rsidDel="00000000" w:rsidR="00000000" w:rsidRPr="00000000">
              <w:rPr>
                <w:b w:val="1"/>
                <w:rtl w:val="0"/>
              </w:rPr>
              <w:t xml:space="preserve">How to create a link in D2L:</w:t>
            </w:r>
            <w:r w:rsidDel="00000000" w:rsidR="00000000" w:rsidRPr="00000000">
              <w:rPr>
                <w:rtl w:val="0"/>
              </w:rPr>
              <w:t xml:space="preserve">  </w:t>
            </w:r>
            <w:hyperlink r:id="rId8">
              <w:r w:rsidDel="00000000" w:rsidR="00000000" w:rsidRPr="00000000">
                <w:rPr>
                  <w:color w:val="1155cc"/>
                  <w:u w:val="single"/>
                  <w:rtl w:val="0"/>
                </w:rPr>
                <w:t xml:space="preserve">https://resources.depaul.edu/teaching-commons/teaching-guides/technology/desire2learn/tools/content/Pages/creating-links.aspx</w:t>
              </w:r>
            </w:hyperlink>
            <w:r w:rsidDel="00000000" w:rsidR="00000000" w:rsidRPr="00000000">
              <w:rPr>
                <w:rtl w:val="0"/>
              </w:rPr>
            </w:r>
          </w:p>
        </w:tc>
      </w:tr>
      <w:tr>
        <w:trPr>
          <w:trHeight w:val="1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Student to students: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facilitate a classroom discussion and students respond to the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breakout rooms in a live Zoom session or a D2L discussion forum.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How to make and manage Zoom Breakout rooms: </w:t>
            </w:r>
            <w:r w:rsidDel="00000000" w:rsidR="00000000" w:rsidRPr="00000000">
              <w:rPr>
                <w:rtl w:val="0"/>
              </w:rPr>
              <w:t xml:space="preserve"> </w:t>
            </w:r>
            <w:hyperlink r:id="rId9">
              <w:r w:rsidDel="00000000" w:rsidR="00000000" w:rsidRPr="00000000">
                <w:rPr>
                  <w:color w:val="1155cc"/>
                  <w:u w:val="single"/>
                  <w:rtl w:val="0"/>
                </w:rPr>
                <w:t xml:space="preserve">https://support.zoom.us/hc/en-us/articles/206476313-Managing-Video-Breakout-Rooms</w:t>
              </w:r>
            </w:hyperlink>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b w:val="1"/>
                <w:rtl w:val="0"/>
              </w:rPr>
              <w:br w:type="textWrapping"/>
              <w:t xml:space="preserve">How to manage D2L discussion forum:</w:t>
            </w:r>
          </w:p>
          <w:p w:rsidR="00000000" w:rsidDel="00000000" w:rsidP="00000000" w:rsidRDefault="00000000" w:rsidRPr="00000000" w14:paraId="0000001F">
            <w:pPr>
              <w:spacing w:line="240" w:lineRule="auto"/>
              <w:rPr/>
            </w:pPr>
            <w:hyperlink r:id="rId10">
              <w:r w:rsidDel="00000000" w:rsidR="00000000" w:rsidRPr="00000000">
                <w:rPr>
                  <w:color w:val="1155cc"/>
                  <w:u w:val="single"/>
                  <w:rtl w:val="0"/>
                </w:rPr>
                <w:t xml:space="preserve">https://documentation.brightspace.com/EN/le/discussions/learner/discussions_intro_1.htm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Student to students: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put students in small groups for more active discussions.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Create breakout rooms in a live Zoom session or D2L discussion forum whereas students respond to a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b w:val="1"/>
              </w:rPr>
            </w:pPr>
            <w:r w:rsidDel="00000000" w:rsidR="00000000" w:rsidRPr="00000000">
              <w:rPr>
                <w:b w:val="1"/>
                <w:rtl w:val="0"/>
              </w:rPr>
              <w:t xml:space="preserve">How to manage D2L discussion forum:</w:t>
            </w:r>
          </w:p>
          <w:p w:rsidR="00000000" w:rsidDel="00000000" w:rsidP="00000000" w:rsidRDefault="00000000" w:rsidRPr="00000000" w14:paraId="00000024">
            <w:pPr>
              <w:spacing w:line="240" w:lineRule="auto"/>
              <w:rPr/>
            </w:pPr>
            <w:hyperlink r:id="rId11">
              <w:r w:rsidDel="00000000" w:rsidR="00000000" w:rsidRPr="00000000">
                <w:rPr>
                  <w:color w:val="1155cc"/>
                  <w:u w:val="single"/>
                  <w:rtl w:val="0"/>
                </w:rPr>
                <w:t xml:space="preserve">https://documentation.brightspace.com/EN/le/discussions/learner/discussions_intro_1.htm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Teacher to student: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hold office hours to meet 1:1 with my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Utilize a Zoom link or connect with students via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b w:val="1"/>
                <w:rtl w:val="0"/>
              </w:rPr>
              <w:t xml:space="preserve">How to operate a telephone:</w:t>
            </w:r>
            <w:r w:rsidDel="00000000" w:rsidR="00000000" w:rsidRPr="00000000">
              <w:rPr>
                <w:rtl w:val="0"/>
              </w:rPr>
              <w:t xml:space="preserve"> </w:t>
            </w:r>
            <w:hyperlink r:id="rId12">
              <w:r w:rsidDel="00000000" w:rsidR="00000000" w:rsidRPr="00000000">
                <w:rPr>
                  <w:color w:val="1155cc"/>
                  <w:u w:val="single"/>
                  <w:rtl w:val="0"/>
                </w:rPr>
                <w:t xml:space="preserve">https://tech.msu.edu/network/telecommunications/</w:t>
              </w:r>
            </w:hyperlink>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tc>
      </w:tr>
    </w:tbl>
    <w:p w:rsidR="00000000" w:rsidDel="00000000" w:rsidP="00000000" w:rsidRDefault="00000000" w:rsidRPr="00000000" w14:paraId="0000002A">
      <w:pPr>
        <w:pStyle w:val="Heading2"/>
        <w:spacing w:line="240" w:lineRule="auto"/>
        <w:rPr>
          <w:b w:val="1"/>
          <w:sz w:val="24"/>
          <w:szCs w:val="24"/>
        </w:rPr>
      </w:pPr>
      <w:bookmarkStart w:colFirst="0" w:colLast="0" w:name="_10nxh887mo99" w:id="3"/>
      <w:bookmarkEnd w:id="3"/>
      <w:r w:rsidDel="00000000" w:rsidR="00000000" w:rsidRPr="00000000">
        <w:rPr>
          <w:b w:val="1"/>
          <w:sz w:val="24"/>
          <w:szCs w:val="24"/>
          <w:rtl w:val="0"/>
        </w:rPr>
        <w:t xml:space="preserve">Implement</w:t>
      </w:r>
    </w:p>
    <w:p w:rsidR="00000000" w:rsidDel="00000000" w:rsidP="00000000" w:rsidRDefault="00000000" w:rsidRPr="00000000" w14:paraId="0000002B">
      <w:pPr>
        <w:spacing w:line="240" w:lineRule="auto"/>
        <w:rPr/>
      </w:pPr>
      <w:r w:rsidDel="00000000" w:rsidR="00000000" w:rsidRPr="00000000">
        <w:rPr>
          <w:rtl w:val="0"/>
        </w:rPr>
        <w:t xml:space="preserve">The above are just a few options for participation and engagement so as to mirror similar approaches utilized in your classroom. R</w:t>
      </w:r>
      <w:r w:rsidDel="00000000" w:rsidR="00000000" w:rsidRPr="00000000">
        <w:rPr>
          <w:rtl w:val="0"/>
        </w:rPr>
        <w:t xml:space="preserve">emember to start small and stick to the tools you’re comfortable with. </w:t>
      </w:r>
    </w:p>
    <w:p w:rsidR="00000000" w:rsidDel="00000000" w:rsidP="00000000" w:rsidRDefault="00000000" w:rsidRPr="00000000" w14:paraId="0000002C">
      <w:pPr>
        <w:pStyle w:val="Heading2"/>
        <w:spacing w:line="240" w:lineRule="auto"/>
        <w:rPr>
          <w:b w:val="1"/>
          <w:sz w:val="24"/>
          <w:szCs w:val="24"/>
        </w:rPr>
      </w:pPr>
      <w:bookmarkStart w:colFirst="0" w:colLast="0" w:name="_c2tguivhshz4" w:id="4"/>
      <w:bookmarkEnd w:id="4"/>
      <w:r w:rsidDel="00000000" w:rsidR="00000000" w:rsidRPr="00000000">
        <w:rPr>
          <w:b w:val="1"/>
          <w:sz w:val="24"/>
          <w:szCs w:val="24"/>
          <w:rtl w:val="0"/>
        </w:rPr>
        <w:t xml:space="preserve">Additional Help</w:t>
      </w:r>
    </w:p>
    <w:p w:rsidR="00000000" w:rsidDel="00000000" w:rsidP="00000000" w:rsidRDefault="00000000" w:rsidRPr="00000000" w14:paraId="0000002D">
      <w:pPr>
        <w:rPr/>
      </w:pPr>
      <w:r w:rsidDel="00000000" w:rsidR="00000000" w:rsidRPr="00000000">
        <w:rPr>
          <w:rtl w:val="0"/>
        </w:rPr>
        <w:t xml:space="preserve">For additional help and support, please visit </w:t>
      </w:r>
      <w:hyperlink r:id="rId13">
        <w:r w:rsidDel="00000000" w:rsidR="00000000" w:rsidRPr="00000000">
          <w:rPr>
            <w:color w:val="1155cc"/>
            <w:u w:val="single"/>
            <w:rtl w:val="0"/>
          </w:rPr>
          <w:t xml:space="preserve">keepteaching.msu.edu</w:t>
        </w:r>
      </w:hyperlink>
      <w:r w:rsidDel="00000000" w:rsidR="00000000" w:rsidRPr="00000000">
        <w:rPr>
          <w:rtl w:val="0"/>
        </w:rPr>
        <w:t xml:space="preserve"> or the MSU IT Service Desk at local (517) 432-6200 or toll free (844) 678-6200.</w:t>
      </w: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pStyle w:val="Heading2"/>
        <w:keepNext w:val="0"/>
        <w:keepLines w:val="0"/>
        <w:spacing w:after="80" w:line="240" w:lineRule="auto"/>
        <w:jc w:val="right"/>
        <w:rPr>
          <w:b w:val="1"/>
          <w:sz w:val="18"/>
          <w:szCs w:val="18"/>
        </w:rPr>
      </w:pPr>
      <w:bookmarkStart w:colFirst="0" w:colLast="0" w:name="_2jy2g9v8ounc" w:id="5"/>
      <w:bookmarkEnd w:id="5"/>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sectPr>
      <w:headerReference r:id="rId14" w:type="default"/>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Style w:val="Heading2"/>
      <w:keepNext w:val="0"/>
      <w:keepLines w:val="0"/>
      <w:spacing w:after="80" w:line="240" w:lineRule="auto"/>
      <w:jc w:val="right"/>
      <w:rPr/>
    </w:pPr>
    <w:bookmarkStart w:colFirst="0" w:colLast="0" w:name="_hwpjjuc1yfwe" w:id="6"/>
    <w:bookmarkEnd w:id="6"/>
    <w:r w:rsidDel="00000000" w:rsidR="00000000" w:rsidRPr="00000000">
      <w:rPr>
        <w:sz w:val="18"/>
        <w:szCs w:val="18"/>
      </w:rPr>
      <w:drawing>
        <wp:inline distB="114300" distT="114300" distL="114300" distR="114300">
          <wp:extent cx="236220" cy="236220"/>
          <wp:effectExtent b="0" l="0" r="0" t="0"/>
          <wp:docPr descr="cc logo" id="1" name="image3.png"/>
          <a:graphic>
            <a:graphicData uri="http://schemas.openxmlformats.org/drawingml/2006/picture">
              <pic:pic>
                <pic:nvPicPr>
                  <pic:cNvPr descr="cc logo" id="0" name="image3.png"/>
                  <pic:cNvPicPr preferRelativeResize="0"/>
                </pic:nvPicPr>
                <pic:blipFill>
                  <a:blip r:embed="rId1"/>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236220" cy="236220"/>
          <wp:effectExtent b="0" l="0" r="0" t="0"/>
          <wp:docPr id="3"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Attribution 4.0 International (CC BY 4.0)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drawing>
        <wp:inline distB="114300" distT="114300" distL="114300" distR="114300">
          <wp:extent cx="5943600" cy="5842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58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umentation.brightspace.com/EN/le/discussions/learner/discussions_intro_1.htm" TargetMode="External"/><Relationship Id="rId10" Type="http://schemas.openxmlformats.org/officeDocument/2006/relationships/hyperlink" Target="https://documentation.brightspace.com/EN/le/discussions/learner/discussions_intro_1.htm" TargetMode="External"/><Relationship Id="rId13" Type="http://schemas.openxmlformats.org/officeDocument/2006/relationships/hyperlink" Target="http://www.keepteaching.msu.edu" TargetMode="External"/><Relationship Id="rId12" Type="http://schemas.openxmlformats.org/officeDocument/2006/relationships/hyperlink" Target="https://tech.msu.edu/network/telecommuni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zoom.us/hc/en-us/articles/206476313-Managing-Video-Breakout-Room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upport.zoom.us/hc/en-us/articles/203749865-Polling-for-Webinars" TargetMode="External"/><Relationship Id="rId7" Type="http://schemas.openxmlformats.org/officeDocument/2006/relationships/hyperlink" Target="https://documentation.brightspace.com/EN/le/discussions/learner/discussions_intro_1.htm" TargetMode="External"/><Relationship Id="rId8" Type="http://schemas.openxmlformats.org/officeDocument/2006/relationships/hyperlink" Target="https://resources.depaul.edu/teaching-commons/teaching-guides/technology/desire2learn/tools/content/Pages/creating-link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